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Upplands-Bro kommunfullmäktige</w:t>
      </w:r>
    </w:p>
    <w:p>
      <w:pPr>
        <w:pStyle w:val="Heading1"/>
      </w:pPr>
      <w:r>
        <w:t xml:space="preserve">HBTQI-certifiering av kommunens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Upplands-Bro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 skola för alla är en liberal kärnfråga. Flera skolor i Upplands-Bro saknar systematiskt HBTQI-arbete enligt kommunens egen kartläggning.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Upplands-Bro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certifiera alla grundskolor enligt HBTQI-modell.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inkluderande arbetssätt.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antidiskrimineringsplaner på varje skola.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med årliga elevenkäter.</w:t>
      </w:r>
    </w:p>
    <w:p>
      <w:pPr>
        <w:spacing w:before="360"/>
      </w:pPr>
    </w:p>
    <w:p>
      <w:r>
        <w:t xml:space="preserve">Upplands-Bro,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Upplands-Bro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2026-07-14T05:30:23.250Z</dcterms:created>
  <dcterms:modified xsi:type="dcterms:W3CDTF">2026-07-14T05:30:23.250Z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